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64" w:lineRule="auto"/>
        <w:ind w:left="-220" w:right="-220" w:firstLine="0"/>
        <w:rPr>
          <w:rFonts w:ascii="Raleway" w:cs="Raleway" w:eastAsia="Raleway" w:hAnsi="Raleway"/>
          <w:b w:val="1"/>
          <w:color w:val="333333"/>
          <w:sz w:val="36"/>
          <w:szCs w:val="36"/>
        </w:rPr>
      </w:pPr>
      <w:bookmarkStart w:colFirst="0" w:colLast="0" w:name="_b100obnp9cdy" w:id="0"/>
      <w:bookmarkEnd w:id="0"/>
      <w:r w:rsidDel="00000000" w:rsidR="00000000" w:rsidRPr="00000000">
        <w:rPr>
          <w:rFonts w:ascii="Raleway" w:cs="Raleway" w:eastAsia="Raleway" w:hAnsi="Raleway"/>
          <w:b w:val="1"/>
          <w:color w:val="333333"/>
          <w:sz w:val="36"/>
          <w:szCs w:val="36"/>
          <w:rtl w:val="0"/>
        </w:rPr>
        <w:t xml:space="preserve">A pain in the neck - Malformation oder anatomische Variation? Ein kritischer Blick auf ECVM</w:t>
      </w:r>
    </w:p>
    <w:p w:rsidR="00000000" w:rsidDel="00000000" w:rsidP="00000000" w:rsidRDefault="00000000" w:rsidRPr="00000000" w14:paraId="00000002">
      <w:pPr>
        <w:shd w:fill="ffffff" w:val="clear"/>
        <w:ind w:left="-440" w:right="-440" w:firstLine="0"/>
        <w:rPr>
          <w:color w:val="212529"/>
          <w:sz w:val="21"/>
          <w:szCs w:val="21"/>
        </w:rPr>
      </w:pPr>
      <w:r w:rsidDel="00000000" w:rsidR="00000000" w:rsidRPr="00000000">
        <w:rPr>
          <w:color w:val="212529"/>
          <w:sz w:val="21"/>
          <w:szCs w:val="21"/>
          <w:rtl w:val="0"/>
        </w:rPr>
        <w:t xml:space="preserve"> 5. März 2025</w:t>
      </w:r>
    </w:p>
    <w:p w:rsidR="00000000" w:rsidDel="00000000" w:rsidP="00000000" w:rsidRDefault="00000000" w:rsidRPr="00000000" w14:paraId="00000003">
      <w:pPr>
        <w:shd w:fill="ffffff" w:val="clear"/>
        <w:ind w:left="-440" w:right="-440" w:firstLine="0"/>
        <w:rPr>
          <w:color w:val="212529"/>
          <w:sz w:val="21"/>
          <w:szCs w:val="21"/>
        </w:rPr>
      </w:pPr>
      <w:r w:rsidDel="00000000" w:rsidR="00000000" w:rsidRPr="00000000">
        <w:rPr>
          <w:color w:val="212529"/>
          <w:sz w:val="21"/>
          <w:szCs w:val="21"/>
          <w:rtl w:val="0"/>
        </w:rPr>
        <w:t xml:space="preserve"> 20:00 - 21:00 CET</w:t>
      </w:r>
    </w:p>
    <w:p w:rsidR="00000000" w:rsidDel="00000000" w:rsidP="00000000" w:rsidRDefault="00000000" w:rsidRPr="00000000" w14:paraId="00000004">
      <w:pPr>
        <w:shd w:fill="ffffff" w:val="clear"/>
        <w:ind w:left="-220" w:right="-220" w:firstLine="0"/>
        <w:rPr>
          <w:b w:val="1"/>
          <w:color w:val="ffffff"/>
          <w:sz w:val="23"/>
          <w:szCs w:val="23"/>
          <w:shd w:fill="cc3333" w:val="clear"/>
        </w:rPr>
      </w:pPr>
      <w:r w:rsidDel="00000000" w:rsidR="00000000" w:rsidRPr="00000000">
        <w:rPr>
          <w:rtl w:val="0"/>
        </w:rPr>
      </w:r>
    </w:p>
    <w:p w:rsidR="00000000" w:rsidDel="00000000" w:rsidP="00000000" w:rsidRDefault="00000000" w:rsidRPr="00000000" w14:paraId="00000005">
      <w:pPr>
        <w:shd w:fill="ffffff" w:val="clear"/>
        <w:ind w:left="-220" w:right="-220" w:firstLine="0"/>
        <w:rPr>
          <w:color w:val="212529"/>
          <w:sz w:val="21"/>
          <w:szCs w:val="21"/>
        </w:rPr>
      </w:pPr>
      <w:r w:rsidDel="00000000" w:rsidR="00000000" w:rsidRPr="00000000">
        <w:rPr>
          <w:color w:val="212529"/>
          <w:sz w:val="21"/>
          <w:szCs w:val="21"/>
          <w:rtl w:val="0"/>
        </w:rPr>
        <w:t xml:space="preserve">Beschreibung</w:t>
      </w:r>
    </w:p>
    <w:p w:rsidR="00000000" w:rsidDel="00000000" w:rsidP="00000000" w:rsidRDefault="00000000" w:rsidRPr="00000000" w14:paraId="00000006">
      <w:pPr>
        <w:shd w:fill="ffffff" w:val="clear"/>
        <w:spacing w:after="160" w:lineRule="auto"/>
        <w:ind w:left="-220" w:right="-220" w:firstLine="0"/>
        <w:rPr>
          <w:color w:val="212529"/>
          <w:sz w:val="21"/>
          <w:szCs w:val="21"/>
        </w:rPr>
      </w:pPr>
      <w:r w:rsidDel="00000000" w:rsidR="00000000" w:rsidRPr="00000000">
        <w:rPr>
          <w:color w:val="212529"/>
          <w:sz w:val="21"/>
          <w:szCs w:val="21"/>
          <w:rtl w:val="0"/>
        </w:rPr>
        <w:t xml:space="preserve">Diagnosen der HWS des Pferdes treten in der kürzeren Vergangenheit zunehmend in den Fokus der Pferdebesitzerwahrnehmung. In diesem Zusammenhang werden u.a. in sozialen Medien hitzige Debatten über die Auswirkungen der "Populärdiagnose ECVM" auf die Gesundheit, Rittigkeit und Performance von Reitpferden postuliert und diskutiert. </w:t>
        <w:br w:type="textWrapping"/>
        <w:t xml:space="preserve">Aus wissenschaftlicher Sicht hingegen sind die Meinungen über potentielle klinische Auswirkungen und  Symptomkomplexe noch ebenso uneinheitlich wie die Beantwortung der schlichten Frage, ob es sich um eine anatomische Variation (ohne klinische Relevanz) oder eine Malformation (mit pathologischem Wert) handelt. Die derzeitig vorliegenden wissenschaftlichen Publikationen kommen zu sehr diversen Ergebnissen. Es drängt sich die Annahme auf, dass klinische Symptome im Sinne einer ECVM vielmehr im Zusammenspiel multipler prädisponierender Faktoren als im bloßen Vorliegen einer anatomischen Variation der HWS begründet sind.</w:t>
      </w:r>
    </w:p>
    <w:p w:rsidR="00000000" w:rsidDel="00000000" w:rsidP="00000000" w:rsidRDefault="00000000" w:rsidRPr="00000000" w14:paraId="00000007">
      <w:pPr>
        <w:shd w:fill="ffffff" w:val="clear"/>
        <w:spacing w:after="160" w:lineRule="auto"/>
        <w:ind w:left="-220" w:right="-220" w:firstLine="0"/>
        <w:rPr>
          <w:color w:val="cc3333"/>
          <w:sz w:val="21"/>
          <w:szCs w:val="21"/>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URL: </w:t>
      </w:r>
    </w:p>
    <w:p w:rsidR="00000000" w:rsidDel="00000000" w:rsidP="00000000" w:rsidRDefault="00000000" w:rsidRPr="00000000" w14:paraId="00000009">
      <w:pPr>
        <w:rPr/>
      </w:pPr>
      <w:r w:rsidDel="00000000" w:rsidR="00000000" w:rsidRPr="00000000">
        <w:rPr>
          <w:rtl w:val="0"/>
        </w:rPr>
        <w:t xml:space="preserve">https://www.vet-webinar.com/de/webinar-live/detail/d/a-pain-in-the-neck/2862/</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