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hyperlink r:id="rId6">
        <w:r w:rsidDel="00000000" w:rsidR="00000000" w:rsidRPr="00000000">
          <w:rPr>
            <w:color w:val="1155cc"/>
            <w:u w:val="single"/>
            <w:rtl w:val="0"/>
          </w:rPr>
          <w:t xml:space="preserve">https://www.vet-webinar.com/de/webinar-live/detail/d/hilfe-mein-patient-blutet/2727//</w:t>
        </w:r>
      </w:hyperlink>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f9ip0mcy4wqb" w:id="0"/>
      <w:bookmarkEnd w:id="0"/>
      <w:r w:rsidDel="00000000" w:rsidR="00000000" w:rsidRPr="00000000">
        <w:rPr>
          <w:rFonts w:ascii="Raleway" w:cs="Raleway" w:eastAsia="Raleway" w:hAnsi="Raleway"/>
          <w:b w:val="1"/>
          <w:color w:val="333333"/>
          <w:sz w:val="36"/>
          <w:szCs w:val="36"/>
          <w:rtl w:val="0"/>
        </w:rPr>
        <w:t xml:space="preserve">Hilfe, mein Patient blutet!</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16. Sep. 2024</w:t>
      </w:r>
    </w:p>
    <w:p w:rsidR="00000000" w:rsidDel="00000000" w:rsidP="00000000" w:rsidRDefault="00000000" w:rsidRPr="00000000" w14:paraId="00000004">
      <w:pPr>
        <w:shd w:fill="ffffff" w:val="clear"/>
        <w:ind w:left="-440" w:right="-440" w:firstLine="0"/>
        <w:rPr>
          <w:color w:val="212529"/>
          <w:sz w:val="21"/>
          <w:szCs w:val="21"/>
        </w:rPr>
      </w:pPr>
      <w:r w:rsidDel="00000000" w:rsidR="00000000" w:rsidRPr="00000000">
        <w:rPr>
          <w:color w:val="212529"/>
          <w:sz w:val="21"/>
          <w:szCs w:val="21"/>
          <w:rtl w:val="0"/>
        </w:rPr>
        <w:t xml:space="preserve"> 20:00 - 21:00 CEST</w:t>
      </w:r>
    </w:p>
    <w:p w:rsidR="00000000" w:rsidDel="00000000" w:rsidP="00000000" w:rsidRDefault="00000000" w:rsidRPr="00000000" w14:paraId="00000005">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6">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7">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Blutungen bei Hunden und Katzen können aus verschiedenen Gründen auftreten und stellen häufig eine ernste Bedrohung für die Gesundheit und das Leben unserer Haustiere dar. Unser Webinar bietet umfassende Einblicke in die Ursachen, Diagnose und moderne Therapiemethoden von Blutungen bei Hunden und Katzen.</w:t>
        <w:br w:type="textWrapping"/>
        <w:t xml:space="preserve">Anhand von verschiedenen Fällen werden die Physiologie der Hämostase, häufige Ursachen von Blutungen, Indikationen und Interpretation von Laborparametern sowie die adäquate Therapie mit Blutprodukten, Vitamin K, Tranexamsäure, Etamsylat vorgestellt und fallbasiert diskutiert.</w:t>
      </w:r>
    </w:p>
    <w:p w:rsidR="00000000" w:rsidDel="00000000" w:rsidP="00000000" w:rsidRDefault="00000000" w:rsidRPr="00000000" w14:paraId="00000008">
      <w:pPr>
        <w:shd w:fill="ffffff" w:val="clear"/>
        <w:spacing w:after="160" w:lineRule="auto"/>
        <w:ind w:left="-220" w:right="-220" w:firstLine="0"/>
        <w:rPr>
          <w:color w:val="212529"/>
          <w:sz w:val="21"/>
          <w:szCs w:val="21"/>
        </w:rPr>
      </w:pPr>
      <w:r w:rsidDel="00000000" w:rsidR="00000000" w:rsidRPr="00000000">
        <w:rPr>
          <w:rtl w:val="0"/>
        </w:rPr>
      </w:r>
    </w:p>
    <w:p w:rsidR="00000000" w:rsidDel="00000000" w:rsidP="00000000" w:rsidRDefault="00000000" w:rsidRPr="00000000" w14:paraId="00000009">
      <w:pPr>
        <w:shd w:fill="f5f5f5" w:val="clear"/>
        <w:spacing w:after="900" w:lineRule="auto"/>
        <w:ind w:left="-440" w:right="-440" w:firstLine="0"/>
        <w:rPr>
          <w:color w:val="212529"/>
          <w:sz w:val="21"/>
          <w:szCs w:val="21"/>
        </w:rPr>
      </w:pPr>
      <w:r w:rsidDel="00000000" w:rsidR="00000000" w:rsidRPr="00000000">
        <w:rPr>
          <w:color w:val="212529"/>
          <w:sz w:val="21"/>
          <w:szCs w:val="21"/>
        </w:rPr>
        <w:drawing>
          <wp:inline distB="114300" distT="114300" distL="114300" distR="114300">
            <wp:extent cx="1714500" cy="1714500"/>
            <wp:effectExtent b="0" l="0" r="0" t="0"/>
            <wp:docPr descr="Najda.jpg" id="1" name="image1.jpg"/>
            <a:graphic>
              <a:graphicData uri="http://schemas.openxmlformats.org/drawingml/2006/picture">
                <pic:pic>
                  <pic:nvPicPr>
                    <pic:cNvPr descr="Najda.jpg" id="0" name="image1.jpg"/>
                    <pic:cNvPicPr preferRelativeResize="0"/>
                  </pic:nvPicPr>
                  <pic:blipFill>
                    <a:blip r:embed="rId7"/>
                    <a:srcRect b="0" l="0" r="0" t="0"/>
                    <a:stretch>
                      <a:fillRect/>
                    </a:stretch>
                  </pic:blipFill>
                  <pic:spPr>
                    <a:xfrm>
                      <a:off x="0" y="0"/>
                      <a:ext cx="17145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hd w:fill="f5f5f5" w:val="clear"/>
        <w:spacing w:after="900" w:lineRule="auto"/>
        <w:ind w:left="-440" w:right="-440" w:firstLine="0"/>
        <w:rPr>
          <w:b w:val="1"/>
          <w:color w:val="212529"/>
          <w:sz w:val="21"/>
          <w:szCs w:val="21"/>
        </w:rPr>
      </w:pPr>
      <w:r w:rsidDel="00000000" w:rsidR="00000000" w:rsidRPr="00000000">
        <w:rPr>
          <w:b w:val="1"/>
          <w:color w:val="212529"/>
          <w:sz w:val="21"/>
          <w:szCs w:val="21"/>
          <w:rtl w:val="0"/>
        </w:rPr>
        <w:t xml:space="preserve">Nadja Sigrist</w:t>
      </w:r>
    </w:p>
    <w:p w:rsidR="00000000" w:rsidDel="00000000" w:rsidP="00000000" w:rsidRDefault="00000000" w:rsidRPr="00000000" w14:paraId="0000000B">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PD Dr.med.vet. Nadja Sigrist, Small animal specialist FVH, DACVECC, DECVECC, EBVS specialist in veterinary emergency and critical care.</w:t>
      </w:r>
    </w:p>
    <w:p w:rsidR="00000000" w:rsidDel="00000000" w:rsidP="00000000" w:rsidRDefault="00000000" w:rsidRPr="00000000" w14:paraId="0000000C">
      <w:pPr>
        <w:shd w:fill="f5f5f5" w:val="clear"/>
        <w:spacing w:after="1060" w:lineRule="auto"/>
        <w:ind w:left="-440" w:right="-440" w:firstLine="0"/>
        <w:rPr>
          <w:color w:val="8e8e8e"/>
          <w:sz w:val="21"/>
          <w:szCs w:val="21"/>
        </w:rPr>
      </w:pPr>
      <w:r w:rsidDel="00000000" w:rsidR="00000000" w:rsidRPr="00000000">
        <w:rPr>
          <w:color w:val="8e8e8e"/>
          <w:sz w:val="21"/>
          <w:szCs w:val="21"/>
          <w:rtl w:val="0"/>
        </w:rPr>
        <w:t xml:space="preserve">After graduating from the veterinary school of the university of Bern in 1996, Nadja completed a doctoral thesis and trained as a specialist for small animals (FVH) before completing a residency in Veterinary Emergency and Critical Care. She is an ACVECC Diplomate since 2004 and ECVECC founding Diplomate since 2014. </w:t>
        <w:br w:type="textWrapping"/>
        <w:t xml:space="preserve">From 2005-2010 she was senior clinician in ECC medicine and helped developed the emergency and ICU service at the Small Animal Hospital of the Vetsuisse Faculty of Bern and from 2013-2020 she was senior clinician and the head of the Small Animal Intensive Care Unit at the Small Animal Hospital of the Vetsuisse Faculty of Zürich. </w:t>
        <w:br w:type="textWrapping"/>
        <w:t xml:space="preserve">In 2021, Nadja left the university setting to concentrate on her own company VET ECC CE (Veterinary Emergency and Critical Care Consulting &amp; Education).</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webinar.com/de/webinar-live/detail/d/hilfe-mein-patient-blutet/2727//"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